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auto"/>
        <w:jc w:val="center"/>
        <w:rPr>
          <w:rFonts w:ascii="方正小标宋简体" w:eastAsia="方正小标宋简体"/>
          <w:w w:val="50"/>
          <w:kern w:val="0"/>
          <w:sz w:val="96"/>
        </w:rPr>
      </w:pPr>
      <w:r>
        <w:rPr>
          <w:rFonts w:hint="eastAsia" w:ascii="方正小标宋简体" w:eastAsia="方正小标宋简体"/>
          <w:w w:val="50"/>
          <w:kern w:val="0"/>
          <w:sz w:val="88"/>
          <w:szCs w:val="88"/>
        </w:rPr>
        <w:t>陕西铁路工程职业技术学院</w:t>
      </w:r>
      <w:r>
        <w:rPr>
          <w:rFonts w:hint="eastAsia" w:ascii="方正小标宋简体" w:eastAsia="方正小标宋简体"/>
          <w:w w:val="50"/>
          <w:kern w:val="0"/>
          <w:sz w:val="88"/>
          <w:szCs w:val="88"/>
          <w:lang w:eastAsia="zh-CN"/>
        </w:rPr>
        <w:t>城轨</w:t>
      </w:r>
      <w:r>
        <w:rPr>
          <w:rFonts w:hint="eastAsia" w:ascii="方正小标宋简体" w:eastAsia="方正小标宋简体"/>
          <w:w w:val="50"/>
          <w:kern w:val="0"/>
          <w:sz w:val="88"/>
          <w:szCs w:val="88"/>
        </w:rPr>
        <w:t>工程</w:t>
      </w:r>
      <w:r>
        <w:rPr>
          <w:rFonts w:hint="eastAsia" w:ascii="方正小标宋简体" w:eastAsia="方正小标宋简体"/>
          <w:w w:val="50"/>
          <w:kern w:val="0"/>
          <w:sz w:val="88"/>
          <w:szCs w:val="88"/>
          <w:lang w:eastAsia="zh-CN"/>
        </w:rPr>
        <w:t>学院</w:t>
      </w:r>
      <w:r>
        <w:rPr>
          <w:rFonts w:hint="eastAsia" w:ascii="方正小标宋简体" w:eastAsia="方正小标宋简体"/>
          <w:w w:val="50"/>
          <w:kern w:val="0"/>
          <w:sz w:val="88"/>
          <w:szCs w:val="88"/>
        </w:rPr>
        <w:t>通知</w:t>
      </w:r>
    </w:p>
    <w:p>
      <w:pPr>
        <w:spacing w:line="480" w:lineRule="auto"/>
        <w:jc w:val="center"/>
        <w:rPr>
          <w:rFonts w:ascii="仿宋_GB2312" w:eastAsia="仿宋_GB2312"/>
          <w:kern w:val="0"/>
          <w:sz w:val="32"/>
        </w:rPr>
      </w:pPr>
      <w:r>
        <w:rPr>
          <w:rFonts w:hint="eastAsia" w:ascii="仿宋_GB2312" w:eastAsia="仿宋_GB2312"/>
          <w:kern w:val="0"/>
          <w:sz w:val="32"/>
        </w:rPr>
        <w:t>〔</w:t>
      </w:r>
      <w:r>
        <w:rPr>
          <w:rFonts w:ascii="仿宋_GB2312" w:eastAsia="仿宋_GB2312"/>
          <w:kern w:val="0"/>
          <w:sz w:val="32"/>
        </w:rPr>
        <w:t>20</w:t>
      </w:r>
      <w:r>
        <w:rPr>
          <w:rFonts w:hint="eastAsia" w:ascii="仿宋_GB2312" w:eastAsia="仿宋_GB2312"/>
          <w:kern w:val="0"/>
          <w:sz w:val="32"/>
          <w:lang w:val="en-US" w:eastAsia="zh-CN"/>
        </w:rPr>
        <w:t>21</w:t>
      </w:r>
      <w:r>
        <w:rPr>
          <w:rFonts w:hint="eastAsia" w:ascii="仿宋_GB2312" w:eastAsia="仿宋_GB2312"/>
          <w:kern w:val="0"/>
          <w:sz w:val="32"/>
        </w:rPr>
        <w:t>〕</w:t>
      </w:r>
      <w:r>
        <w:rPr>
          <w:rFonts w:hint="eastAsia" w:ascii="仿宋_GB2312" w:eastAsia="仿宋_GB2312"/>
          <w:kern w:val="0"/>
          <w:sz w:val="32"/>
          <w:lang w:val="en-US" w:eastAsia="zh-CN"/>
        </w:rPr>
        <w:t>2</w:t>
      </w:r>
      <w:r>
        <w:rPr>
          <w:rFonts w:hint="eastAsia" w:ascii="仿宋_GB2312" w:eastAsia="仿宋_GB2312"/>
          <w:kern w:val="0"/>
          <w:sz w:val="32"/>
        </w:rPr>
        <w:t>号</w:t>
      </w:r>
    </w:p>
    <w:p>
      <w:pPr>
        <w:spacing w:line="480" w:lineRule="auto"/>
        <w:rPr>
          <w:rFonts w:ascii="方正小标宋简体" w:hAnsi="方正小标宋简体" w:eastAsia="方正小标宋简体"/>
          <w:kern w:val="0"/>
          <w:sz w:val="36"/>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100965</wp:posOffset>
                </wp:positionV>
                <wp:extent cx="5648325" cy="0"/>
                <wp:effectExtent l="19050" t="15240" r="19050" b="13335"/>
                <wp:wrapNone/>
                <wp:docPr id="2" name="Line 2"/>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25400">
                          <a:solidFill>
                            <a:srgbClr val="000000"/>
                          </a:solidFill>
                          <a:round/>
                        </a:ln>
                      </wps:spPr>
                      <wps:bodyPr/>
                    </wps:wsp>
                  </a:graphicData>
                </a:graphic>
              </wp:anchor>
            </w:drawing>
          </mc:Choice>
          <mc:Fallback>
            <w:pict>
              <v:line id="Line 2" o:spid="_x0000_s1026" o:spt="20" style="position:absolute;left:0pt;margin-left:0pt;margin-top:7.95pt;height:0pt;width:444.75pt;z-index:251659264;mso-width-relative:page;mso-height-relative:page;" filled="f" stroked="t" coordsize="21600,21600" o:gfxdata="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qnHJTUAAAABgEAAA8AAAAAAAAAAQAgAAAAIgAAAGRycy9kb3du&#10;cmV2LnhtbFBLAQIUABQAAAAIAIdO4kC7jt7kygEAAKADAAAOAAAAAAAAAAEAIAAAACMBAABkcnMv&#10;ZTJvRG9jLnhtbFBLBQYAAAAABgAGAFkBAABfBQAAAAA=&#10;">
                <v:fill on="f" focussize="0,0"/>
                <v:stroke weight="2pt" color="#000000" joinstyle="round"/>
                <v:imagedata o:title=""/>
                <o:lock v:ext="edit" aspectratio="f"/>
              </v:line>
            </w:pict>
          </mc:Fallback>
        </mc:AlternateContent>
      </w:r>
    </w:p>
    <w:p>
      <w:pPr>
        <w:pStyle w:val="5"/>
        <w:spacing w:before="0" w:beforeAutospacing="0" w:after="156" w:afterLines="50" w:line="560" w:lineRule="exact"/>
        <w:jc w:val="center"/>
        <w:rPr>
          <w:rFonts w:ascii="方正小标宋简体" w:eastAsia="方正小标宋简体"/>
          <w:b/>
          <w:sz w:val="36"/>
        </w:rPr>
      </w:pPr>
      <w:r>
        <w:rPr>
          <w:rFonts w:hint="eastAsia" w:ascii="方正小标宋简体" w:eastAsia="方正小标宋简体"/>
          <w:b/>
          <w:sz w:val="36"/>
        </w:rPr>
        <w:t>关于</w:t>
      </w:r>
      <w:r>
        <w:rPr>
          <w:rFonts w:hint="eastAsia" w:ascii="方正小标宋简体" w:eastAsia="方正小标宋简体"/>
          <w:b/>
          <w:sz w:val="36"/>
          <w:lang w:eastAsia="zh-CN"/>
        </w:rPr>
        <w:t>成立城轨工程学院</w:t>
      </w:r>
      <w:r>
        <w:rPr>
          <w:rFonts w:hint="eastAsia" w:ascii="方正小标宋简体" w:eastAsia="方正小标宋简体"/>
          <w:b/>
          <w:sz w:val="36"/>
        </w:rPr>
        <w:t xml:space="preserve">教学工作委员会的通知 </w:t>
      </w:r>
    </w:p>
    <w:p>
      <w:pPr>
        <w:spacing w:line="560" w:lineRule="exact"/>
        <w:jc w:val="left"/>
        <w:rPr>
          <w:rFonts w:ascii="仿宋_GB2312" w:hAnsi="宋体" w:eastAsia="仿宋_GB2312"/>
          <w:kern w:val="0"/>
          <w:sz w:val="30"/>
        </w:rPr>
      </w:pPr>
      <w:r>
        <w:rPr>
          <w:rFonts w:hint="eastAsia" w:ascii="仿宋_GB2312" w:hAnsi="宋体" w:eastAsia="仿宋_GB2312"/>
          <w:kern w:val="0"/>
          <w:sz w:val="30"/>
          <w:lang w:eastAsia="zh-CN"/>
        </w:rPr>
        <w:t>院</w:t>
      </w:r>
      <w:r>
        <w:rPr>
          <w:rFonts w:hint="eastAsia" w:ascii="仿宋_GB2312" w:hAnsi="宋体" w:eastAsia="仿宋_GB2312"/>
          <w:kern w:val="0"/>
          <w:sz w:val="30"/>
        </w:rPr>
        <w:t>属各科室：</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jc w:val="left"/>
        <w:textAlignment w:val="auto"/>
        <w:rPr>
          <w:rFonts w:hint="eastAsia" w:ascii="仿宋_GB2312" w:hAnsi="宋体" w:eastAsia="仿宋_GB2312"/>
          <w:b/>
          <w:kern w:val="0"/>
          <w:sz w:val="30"/>
        </w:rPr>
      </w:pPr>
      <w:r>
        <w:rPr>
          <w:rFonts w:hint="eastAsia" w:ascii="仿宋_GB2312" w:hAnsi="宋体" w:eastAsia="仿宋_GB2312"/>
          <w:kern w:val="0"/>
          <w:sz w:val="30"/>
          <w:lang w:eastAsia="zh-CN"/>
        </w:rPr>
        <w:t>为适应高等职业教育改革发展的新形势，加强学院教学工作，提升</w:t>
      </w:r>
      <w:r>
        <w:rPr>
          <w:rFonts w:hint="eastAsia" w:ascii="仿宋_GB2312" w:hAnsi="宋体" w:eastAsia="仿宋_GB2312"/>
          <w:kern w:val="0"/>
          <w:sz w:val="30"/>
        </w:rPr>
        <w:t>教学</w:t>
      </w:r>
      <w:r>
        <w:rPr>
          <w:rFonts w:hint="eastAsia" w:ascii="仿宋_GB2312" w:hAnsi="宋体" w:eastAsia="仿宋_GB2312"/>
          <w:kern w:val="0"/>
          <w:sz w:val="30"/>
          <w:lang w:eastAsia="zh-CN"/>
        </w:rPr>
        <w:t>工作质量，决定</w:t>
      </w:r>
      <w:r>
        <w:rPr>
          <w:rFonts w:hint="eastAsia" w:ascii="仿宋_GB2312" w:hAnsi="宋体" w:eastAsia="仿宋_GB2312"/>
          <w:kern w:val="0"/>
          <w:sz w:val="30"/>
        </w:rPr>
        <w:t>成立</w:t>
      </w:r>
      <w:r>
        <w:rPr>
          <w:rFonts w:hint="eastAsia" w:ascii="仿宋_GB2312" w:hAnsi="宋体" w:eastAsia="仿宋_GB2312"/>
          <w:kern w:val="0"/>
          <w:sz w:val="30"/>
          <w:lang w:eastAsia="zh-CN"/>
        </w:rPr>
        <w:t>城轨工程学院</w:t>
      </w:r>
      <w:r>
        <w:rPr>
          <w:rFonts w:hint="eastAsia" w:ascii="仿宋_GB2312" w:hAnsi="宋体" w:eastAsia="仿宋_GB2312"/>
          <w:kern w:val="0"/>
          <w:sz w:val="30"/>
        </w:rPr>
        <w:t>教学工作委员会</w:t>
      </w:r>
      <w:r>
        <w:rPr>
          <w:rFonts w:hint="eastAsia" w:ascii="仿宋_GB2312" w:hAnsi="宋体" w:eastAsia="仿宋_GB2312"/>
          <w:kern w:val="0"/>
          <w:sz w:val="30"/>
          <w:lang w:eastAsia="zh-CN"/>
        </w:rPr>
        <w:t xml:space="preserve">。教学工作委员会是在院长领导下的专家审议咨询非编机构。 </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rPr>
        <w:t>一、教学工作委员会</w:t>
      </w:r>
      <w:r>
        <w:rPr>
          <w:rFonts w:hint="eastAsia" w:ascii="仿宋_GB2312" w:hAnsi="宋体" w:eastAsia="仿宋_GB2312"/>
          <w:b/>
          <w:kern w:val="0"/>
          <w:sz w:val="30"/>
          <w:lang w:eastAsia="zh-CN"/>
        </w:rPr>
        <w:t>的职责</w:t>
      </w:r>
    </w:p>
    <w:p>
      <w:pPr>
        <w:keepNext w:val="0"/>
        <w:keepLines w:val="0"/>
        <w:pageBreakBefore w:val="0"/>
        <w:widowControl w:val="0"/>
        <w:kinsoku/>
        <w:wordWrap/>
        <w:overflowPunct/>
        <w:topLinePunct w:val="0"/>
        <w:autoSpaceDE/>
        <w:autoSpaceDN/>
        <w:bidi w:val="0"/>
        <w:adjustRightInd/>
        <w:snapToGrid/>
        <w:spacing w:line="480" w:lineRule="auto"/>
        <w:ind w:firstLine="601"/>
        <w:jc w:val="left"/>
        <w:textAlignment w:val="auto"/>
        <w:rPr>
          <w:rFonts w:hint="eastAsia" w:ascii="仿宋_GB2312" w:hAnsi="宋体" w:eastAsia="仿宋_GB2312"/>
          <w:b w:val="0"/>
          <w:bCs/>
          <w:kern w:val="0"/>
          <w:sz w:val="30"/>
          <w:lang w:eastAsia="zh-CN"/>
        </w:rPr>
      </w:pPr>
      <w:r>
        <w:rPr>
          <w:rFonts w:hint="eastAsia" w:ascii="仿宋_GB2312" w:hAnsi="宋体" w:eastAsia="仿宋_GB2312"/>
          <w:b w:val="0"/>
          <w:bCs/>
          <w:kern w:val="0"/>
          <w:sz w:val="30"/>
          <w:lang w:val="en-US" w:eastAsia="zh-CN"/>
        </w:rPr>
        <w:t>1.</w:t>
      </w:r>
      <w:r>
        <w:rPr>
          <w:rFonts w:hint="eastAsia" w:ascii="仿宋_GB2312" w:hAnsi="宋体" w:eastAsia="仿宋_GB2312"/>
          <w:b w:val="0"/>
          <w:bCs/>
          <w:kern w:val="0"/>
          <w:sz w:val="30"/>
          <w:lang w:eastAsia="zh-CN"/>
        </w:rPr>
        <w:t>研究和解决教学工作中的一些重大问题。如师资队伍建设、专业设置和调整、专业（群）人才培养方案制（修）定、讲义教材编制与修订、教改课题申报与结题、教学成果奖申报、教师教学能力与课程思政等比赛、教学改革实施等工作。</w:t>
      </w:r>
    </w:p>
    <w:p>
      <w:pPr>
        <w:keepNext w:val="0"/>
        <w:keepLines w:val="0"/>
        <w:pageBreakBefore w:val="0"/>
        <w:widowControl w:val="0"/>
        <w:kinsoku/>
        <w:wordWrap/>
        <w:overflowPunct/>
        <w:topLinePunct w:val="0"/>
        <w:autoSpaceDE/>
        <w:autoSpaceDN/>
        <w:bidi w:val="0"/>
        <w:adjustRightInd/>
        <w:snapToGrid/>
        <w:spacing w:line="480" w:lineRule="auto"/>
        <w:ind w:firstLine="601"/>
        <w:jc w:val="left"/>
        <w:textAlignment w:val="auto"/>
        <w:rPr>
          <w:rFonts w:hint="eastAsia" w:ascii="仿宋_GB2312" w:hAnsi="宋体" w:eastAsia="仿宋_GB2312"/>
          <w:b w:val="0"/>
          <w:bCs/>
          <w:kern w:val="0"/>
          <w:sz w:val="30"/>
          <w:lang w:eastAsia="zh-CN"/>
        </w:rPr>
      </w:pPr>
      <w:r>
        <w:rPr>
          <w:rFonts w:hint="eastAsia" w:ascii="仿宋_GB2312" w:hAnsi="宋体" w:eastAsia="仿宋_GB2312"/>
          <w:b w:val="0"/>
          <w:bCs/>
          <w:kern w:val="0"/>
          <w:sz w:val="30"/>
          <w:lang w:val="en-US" w:eastAsia="zh-CN"/>
        </w:rPr>
        <w:t>2.</w:t>
      </w:r>
      <w:r>
        <w:rPr>
          <w:rFonts w:hint="eastAsia" w:ascii="仿宋_GB2312" w:hAnsi="宋体" w:eastAsia="仿宋_GB2312"/>
          <w:b w:val="0"/>
          <w:bCs/>
          <w:kern w:val="0"/>
          <w:sz w:val="30"/>
          <w:lang w:eastAsia="zh-CN"/>
        </w:rPr>
        <w:t>按照学校相关教学工作考核管理办法、每学期诊断与改进检查文件、“双高”计划等相关教学工作管理办法，组织开展对院</w:t>
      </w:r>
      <w:r>
        <w:rPr>
          <w:rFonts w:hint="eastAsia" w:ascii="仿宋_GB2312" w:hAnsi="宋体" w:eastAsia="仿宋_GB2312"/>
          <w:b w:val="0"/>
          <w:bCs/>
          <w:kern w:val="0"/>
          <w:sz w:val="30"/>
        </w:rPr>
        <w:t>属各科室</w:t>
      </w:r>
      <w:r>
        <w:rPr>
          <w:rFonts w:hint="eastAsia" w:ascii="仿宋_GB2312" w:hAnsi="宋体" w:eastAsia="仿宋_GB2312"/>
          <w:b w:val="0"/>
          <w:bCs/>
          <w:kern w:val="0"/>
          <w:sz w:val="30"/>
          <w:lang w:eastAsia="zh-CN"/>
        </w:rPr>
        <w:t>教学工作和管理目标的考核和评估。</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val="0"/>
          <w:bCs/>
          <w:kern w:val="0"/>
          <w:sz w:val="30"/>
          <w:lang w:val="en-US" w:eastAsia="zh-CN"/>
        </w:rPr>
      </w:pPr>
      <w:r>
        <w:rPr>
          <w:rFonts w:hint="eastAsia" w:ascii="仿宋_GB2312" w:hAnsi="宋体" w:eastAsia="仿宋_GB2312"/>
          <w:b w:val="0"/>
          <w:bCs/>
          <w:kern w:val="0"/>
          <w:sz w:val="30"/>
          <w:lang w:val="en-US" w:eastAsia="zh-CN"/>
        </w:rPr>
        <w:t>3.审核校级教学名师、教学能手、教坛新秀、优秀教师、课程负责人、教师综合执教能力认定以及上级要求推荐的属于教学业务方面表彰和认定的人才。</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val="en-US" w:eastAsia="zh-CN"/>
        </w:rPr>
      </w:pPr>
      <w:r>
        <w:rPr>
          <w:rFonts w:hint="eastAsia" w:ascii="仿宋_GB2312" w:hAnsi="宋体" w:eastAsia="仿宋_GB2312"/>
          <w:b w:val="0"/>
          <w:bCs/>
          <w:kern w:val="0"/>
          <w:sz w:val="30"/>
          <w:lang w:val="en-US" w:eastAsia="zh-CN"/>
        </w:rPr>
        <w:t>4.听取各教研室教学工</w:t>
      </w:r>
      <w:r>
        <w:rPr>
          <w:rFonts w:hint="eastAsia" w:ascii="仿宋_GB2312" w:hAnsi="宋体" w:eastAsia="仿宋_GB2312"/>
          <w:kern w:val="0"/>
          <w:sz w:val="30"/>
          <w:lang w:val="en-US" w:eastAsia="zh-CN"/>
        </w:rPr>
        <w:t>作汇报，并进行评价。</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val="en-US" w:eastAsia="zh-CN"/>
        </w:rPr>
      </w:pPr>
      <w:r>
        <w:rPr>
          <w:rFonts w:hint="eastAsia" w:ascii="仿宋_GB2312" w:hAnsi="宋体" w:eastAsia="仿宋_GB2312"/>
          <w:kern w:val="0"/>
          <w:sz w:val="30"/>
          <w:lang w:val="en-US" w:eastAsia="zh-CN"/>
        </w:rPr>
        <w:t>5.有关教学管理、教学建设的其它事项。</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lang w:val="en-US" w:eastAsia="zh-CN"/>
        </w:rPr>
        <w:t>二、</w:t>
      </w:r>
      <w:r>
        <w:rPr>
          <w:rFonts w:hint="eastAsia" w:ascii="仿宋_GB2312" w:hAnsi="宋体" w:eastAsia="仿宋_GB2312"/>
          <w:b/>
          <w:kern w:val="0"/>
          <w:sz w:val="30"/>
          <w:lang w:eastAsia="zh-CN"/>
        </w:rPr>
        <w:t>教学工作委员会的组成人员</w:t>
      </w:r>
    </w:p>
    <w:p>
      <w:pPr>
        <w:keepNext w:val="0"/>
        <w:keepLines w:val="0"/>
        <w:pageBreakBefore w:val="0"/>
        <w:widowControl w:val="0"/>
        <w:kinsoku/>
        <w:wordWrap/>
        <w:overflowPunct/>
        <w:topLinePunct w:val="0"/>
        <w:autoSpaceDE/>
        <w:autoSpaceDN/>
        <w:bidi w:val="0"/>
        <w:adjustRightInd/>
        <w:snapToGrid/>
        <w:spacing w:line="480" w:lineRule="auto"/>
        <w:ind w:firstLine="588" w:firstLineChars="196"/>
        <w:textAlignment w:val="auto"/>
        <w:rPr>
          <w:rFonts w:hint="eastAsia" w:ascii="仿宋_GB2312" w:hAnsi="宋体" w:eastAsia="仿宋_GB2312"/>
          <w:kern w:val="0"/>
          <w:sz w:val="30"/>
          <w:lang w:eastAsia="zh-CN"/>
        </w:rPr>
      </w:pPr>
      <w:r>
        <w:rPr>
          <w:rFonts w:hint="eastAsia" w:ascii="仿宋_GB2312" w:hAnsi="宋体" w:eastAsia="仿宋_GB2312"/>
          <w:kern w:val="0"/>
          <w:sz w:val="30"/>
          <w:lang w:val="en-US" w:eastAsia="zh-CN"/>
        </w:rPr>
        <w:t>1.</w:t>
      </w:r>
      <w:r>
        <w:rPr>
          <w:rFonts w:hint="eastAsia" w:ascii="仿宋_GB2312" w:hAnsi="宋体" w:eastAsia="仿宋_GB2312"/>
          <w:kern w:val="0"/>
          <w:sz w:val="30"/>
          <w:lang w:eastAsia="zh-CN"/>
        </w:rPr>
        <w:t>组成人员的确定原则</w:t>
      </w:r>
    </w:p>
    <w:p>
      <w:pPr>
        <w:keepNext w:val="0"/>
        <w:keepLines w:val="0"/>
        <w:pageBreakBefore w:val="0"/>
        <w:widowControl w:val="0"/>
        <w:kinsoku/>
        <w:wordWrap/>
        <w:overflowPunct/>
        <w:topLinePunct w:val="0"/>
        <w:autoSpaceDE/>
        <w:autoSpaceDN/>
        <w:bidi w:val="0"/>
        <w:adjustRightInd/>
        <w:snapToGrid/>
        <w:spacing w:line="480" w:lineRule="auto"/>
        <w:ind w:firstLine="588" w:firstLineChars="196"/>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按照教育部办公厅关于组建高职高专教育专业类教学指导委员会的通知精神，组成人员主要来自两个方面。一是直接从事教学工作、有丰富教学经验的具有高级职称的教师，如教学名师、技能大师、专业带头人、教研室主任等；二是懂教学工作、有管理专长的教学管理人员及党建工作主要负责人等。组成人员由学院党政联席会确定，任期两年。</w:t>
      </w:r>
    </w:p>
    <w:p>
      <w:pPr>
        <w:keepNext w:val="0"/>
        <w:keepLines w:val="0"/>
        <w:pageBreakBefore w:val="0"/>
        <w:widowControl w:val="0"/>
        <w:kinsoku/>
        <w:wordWrap/>
        <w:overflowPunct/>
        <w:topLinePunct w:val="0"/>
        <w:autoSpaceDE/>
        <w:autoSpaceDN/>
        <w:bidi w:val="0"/>
        <w:adjustRightInd/>
        <w:snapToGrid/>
        <w:spacing w:line="480" w:lineRule="auto"/>
        <w:ind w:firstLine="588" w:firstLineChars="196"/>
        <w:textAlignment w:val="auto"/>
        <w:rPr>
          <w:rFonts w:hint="eastAsia" w:ascii="仿宋_GB2312" w:hAnsi="宋体" w:eastAsia="仿宋_GB2312"/>
          <w:kern w:val="0"/>
          <w:sz w:val="30"/>
          <w:lang w:eastAsia="zh-CN"/>
        </w:rPr>
      </w:pPr>
      <w:r>
        <w:rPr>
          <w:rFonts w:hint="eastAsia" w:ascii="仿宋_GB2312" w:hAnsi="宋体" w:eastAsia="仿宋_GB2312"/>
          <w:kern w:val="0"/>
          <w:sz w:val="30"/>
          <w:lang w:val="en-US" w:eastAsia="zh-CN"/>
        </w:rPr>
        <w:t>2.</w:t>
      </w:r>
      <w:r>
        <w:rPr>
          <w:rFonts w:hint="eastAsia" w:ascii="仿宋_GB2312" w:hAnsi="宋体" w:eastAsia="仿宋_GB2312"/>
          <w:kern w:val="0"/>
          <w:sz w:val="30"/>
          <w:lang w:eastAsia="zh-CN"/>
        </w:rPr>
        <w:t>教学工作委员会成员</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主</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lang w:eastAsia="zh-CN"/>
        </w:rPr>
        <w:t>任：</w:t>
      </w:r>
      <w:r>
        <w:rPr>
          <w:rFonts w:hint="eastAsia" w:ascii="仿宋_GB2312" w:hAnsi="宋体" w:eastAsia="仿宋_GB2312"/>
          <w:kern w:val="0"/>
          <w:sz w:val="30"/>
        </w:rPr>
        <w:t>毛红梅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rPr>
      </w:pPr>
      <w:r>
        <w:rPr>
          <w:rFonts w:hint="eastAsia" w:ascii="仿宋_GB2312" w:hAnsi="宋体" w:eastAsia="仿宋_GB2312"/>
          <w:kern w:val="0"/>
          <w:sz w:val="30"/>
          <w:lang w:eastAsia="zh-CN"/>
        </w:rPr>
        <w:t>副主任：</w:t>
      </w:r>
      <w:r>
        <w:rPr>
          <w:rFonts w:hint="eastAsia" w:ascii="仿宋_GB2312" w:hAnsi="宋体" w:eastAsia="仿宋_GB2312"/>
          <w:kern w:val="0"/>
          <w:sz w:val="30"/>
        </w:rPr>
        <w:t>任庆国、</w:t>
      </w:r>
      <w:r>
        <w:rPr>
          <w:rFonts w:hint="eastAsia" w:ascii="仿宋_GB2312" w:hAnsi="宋体" w:eastAsia="仿宋_GB2312"/>
          <w:kern w:val="0"/>
          <w:sz w:val="30"/>
          <w:lang w:eastAsia="zh-CN"/>
        </w:rPr>
        <w:t>宋秀清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kern w:val="0"/>
          <w:sz w:val="30"/>
          <w:lang w:eastAsia="zh-CN"/>
        </w:rPr>
        <w:t>成</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lang w:eastAsia="zh-CN"/>
        </w:rPr>
        <w:t>员：</w:t>
      </w:r>
      <w:r>
        <w:rPr>
          <w:rFonts w:hint="eastAsia" w:ascii="仿宋_GB2312" w:hAnsi="宋体" w:eastAsia="仿宋_GB2312"/>
          <w:kern w:val="0"/>
          <w:sz w:val="30"/>
        </w:rPr>
        <w:t>贾良</w:t>
      </w:r>
      <w:r>
        <w:rPr>
          <w:rFonts w:hint="eastAsia" w:ascii="仿宋_GB2312" w:hAnsi="宋体" w:eastAsia="仿宋_GB2312"/>
          <w:kern w:val="0"/>
          <w:sz w:val="30"/>
          <w:lang w:eastAsia="zh-CN"/>
        </w:rPr>
        <w:t>、曾宇翔、</w:t>
      </w:r>
      <w:bookmarkStart w:id="0" w:name="_GoBack"/>
      <w:bookmarkEnd w:id="0"/>
      <w:r>
        <w:rPr>
          <w:rFonts w:hint="eastAsia" w:ascii="仿宋_GB2312" w:hAnsi="宋体" w:eastAsia="仿宋_GB2312"/>
          <w:kern w:val="0"/>
          <w:sz w:val="30"/>
        </w:rPr>
        <w:t>郭军、高攀科、</w:t>
      </w:r>
      <w:r>
        <w:rPr>
          <w:rFonts w:hint="eastAsia" w:ascii="仿宋_GB2312" w:hAnsi="宋体" w:eastAsia="仿宋_GB2312"/>
          <w:kern w:val="0"/>
          <w:sz w:val="30"/>
          <w:lang w:eastAsia="zh-CN"/>
        </w:rPr>
        <w:t>陈艳茹、</w:t>
      </w:r>
      <w:r>
        <w:rPr>
          <w:rFonts w:hint="eastAsia" w:ascii="仿宋_GB2312" w:hAnsi="宋体" w:eastAsia="仿宋_GB2312"/>
          <w:kern w:val="0"/>
          <w:sz w:val="30"/>
        </w:rPr>
        <w:t>王晗、刘江</w:t>
      </w:r>
      <w:r>
        <w:rPr>
          <w:rFonts w:hint="eastAsia" w:ascii="仿宋_GB2312" w:hAnsi="宋体" w:eastAsia="仿宋_GB2312"/>
          <w:kern w:val="0"/>
          <w:sz w:val="30"/>
          <w:lang w:eastAsia="zh-CN"/>
        </w:rPr>
        <w:t>、</w:t>
      </w:r>
      <w:r>
        <w:rPr>
          <w:rFonts w:hint="eastAsia" w:ascii="仿宋_GB2312" w:hAnsi="宋体" w:eastAsia="仿宋_GB2312"/>
          <w:kern w:val="0"/>
          <w:sz w:val="30"/>
        </w:rPr>
        <w:t>张有斌</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lang w:eastAsia="zh-CN"/>
        </w:rPr>
        <w:t>三、教学工作委员会工作制度</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default" w:ascii="仿宋_GB2312" w:hAnsi="宋体" w:eastAsia="仿宋_GB2312"/>
          <w:kern w:val="0"/>
          <w:sz w:val="30"/>
          <w:lang w:val="en-US" w:eastAsia="zh-CN"/>
        </w:rPr>
      </w:pPr>
      <w:r>
        <w:rPr>
          <w:rFonts w:hint="eastAsia" w:ascii="仿宋_GB2312" w:hAnsi="宋体" w:eastAsia="仿宋_GB2312"/>
          <w:kern w:val="0"/>
          <w:sz w:val="30"/>
          <w:lang w:val="en-US" w:eastAsia="zh-CN"/>
        </w:rPr>
        <w:t>1.教学工作委员会不定期召开全体会议，不定期活动将根据实际教学情况开展活动。每学期不少于两次。</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eastAsia" w:ascii="仿宋_GB2312" w:hAnsi="宋体" w:eastAsia="仿宋_GB2312"/>
          <w:kern w:val="0"/>
          <w:sz w:val="30"/>
          <w:lang w:val="en-US" w:eastAsia="zh-CN"/>
        </w:rPr>
      </w:pPr>
      <w:r>
        <w:rPr>
          <w:rFonts w:hint="eastAsia" w:ascii="仿宋_GB2312" w:hAnsi="宋体" w:eastAsia="仿宋_GB2312"/>
          <w:kern w:val="0"/>
          <w:sz w:val="30"/>
          <w:lang w:val="en-US" w:eastAsia="zh-CN"/>
        </w:rPr>
        <w:t>2.教学工作委员会决定须经不少于三分之二成员参加方可有效。</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eastAsia" w:ascii="仿宋_GB2312" w:hAnsi="宋体" w:eastAsia="仿宋_GB2312"/>
          <w:kern w:val="0"/>
          <w:sz w:val="30"/>
          <w:lang w:val="en-US" w:eastAsia="zh-CN"/>
        </w:rPr>
      </w:pPr>
      <w:r>
        <w:rPr>
          <w:rFonts w:hint="eastAsia" w:ascii="仿宋_GB2312" w:hAnsi="宋体" w:eastAsia="仿宋_GB2312"/>
          <w:kern w:val="0"/>
          <w:sz w:val="30"/>
          <w:lang w:val="en-US" w:eastAsia="zh-CN"/>
        </w:rPr>
        <w:t>3.连续三次未参加教学指导委员会活动者按自动退出教学指导委员会处理。</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eastAsia" w:ascii="仿宋_GB2312" w:hAnsi="宋体" w:eastAsia="仿宋_GB2312"/>
          <w:kern w:val="0"/>
          <w:sz w:val="30"/>
          <w:lang w:val="en-US" w:eastAsia="zh-CN"/>
        </w:rPr>
      </w:pPr>
      <w:r>
        <w:rPr>
          <w:rFonts w:hint="eastAsia" w:ascii="仿宋_GB2312" w:hAnsi="宋体" w:eastAsia="仿宋_GB2312"/>
          <w:kern w:val="0"/>
          <w:sz w:val="30"/>
          <w:lang w:val="en-US" w:eastAsia="zh-CN"/>
        </w:rPr>
        <w:t>4.本条例自公布之日起执行。</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default" w:ascii="仿宋_GB2312" w:hAnsi="宋体" w:eastAsia="仿宋_GB2312"/>
          <w:kern w:val="0"/>
          <w:sz w:val="30"/>
          <w:lang w:val="en-US" w:eastAsia="zh-CN"/>
        </w:rPr>
      </w:pPr>
      <w:r>
        <w:rPr>
          <w:rFonts w:hint="eastAsia" w:ascii="仿宋_GB2312" w:hAnsi="宋体" w:eastAsia="仿宋_GB2312"/>
          <w:kern w:val="0"/>
          <w:sz w:val="30"/>
          <w:lang w:val="en-US" w:eastAsia="zh-CN"/>
        </w:rPr>
        <w:t>5.其它未尽事宜由城轨工程学院办公室负责解释。</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p>
    <w:p>
      <w:pPr>
        <w:keepNext w:val="0"/>
        <w:keepLines w:val="0"/>
        <w:pageBreakBefore w:val="0"/>
        <w:widowControl w:val="0"/>
        <w:kinsoku/>
        <w:overflowPunct/>
        <w:topLinePunct w:val="0"/>
        <w:autoSpaceDE/>
        <w:autoSpaceDN/>
        <w:bidi w:val="0"/>
        <w:adjustRightInd/>
        <w:snapToGrid/>
        <w:spacing w:line="360" w:lineRule="auto"/>
        <w:ind w:right="860"/>
        <w:jc w:val="right"/>
        <w:textAlignment w:val="auto"/>
        <w:rPr>
          <w:rFonts w:hint="eastAsia" w:ascii="仿宋_GB2312" w:hAnsi="宋体" w:eastAsia="仿宋_GB2312"/>
          <w:kern w:val="0"/>
          <w:sz w:val="30"/>
        </w:rPr>
      </w:pPr>
      <w:r>
        <w:rPr>
          <w:rFonts w:ascii="仿宋_GB2312" w:hAnsi="宋体" w:eastAsia="仿宋_GB2312"/>
          <w:kern w:val="0"/>
          <w:sz w:val="30"/>
        </w:rPr>
        <w:drawing>
          <wp:anchor distT="0" distB="0" distL="114300" distR="114300" simplePos="0" relativeHeight="251661312" behindDoc="0" locked="0" layoutInCell="1" allowOverlap="1">
            <wp:simplePos x="0" y="0"/>
            <wp:positionH relativeFrom="column">
              <wp:posOffset>3937000</wp:posOffset>
            </wp:positionH>
            <wp:positionV relativeFrom="paragraph">
              <wp:posOffset>290830</wp:posOffset>
            </wp:positionV>
            <wp:extent cx="1566545" cy="1591310"/>
            <wp:effectExtent l="0" t="0" r="0" b="0"/>
            <wp:wrapNone/>
            <wp:docPr id="3" name="图片 3" descr="学院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院电子章"/>
                    <pic:cNvPicPr>
                      <a:picLocks noChangeAspect="1"/>
                    </pic:cNvPicPr>
                  </pic:nvPicPr>
                  <pic:blipFill>
                    <a:blip r:embed="rId8"/>
                    <a:stretch>
                      <a:fillRect/>
                    </a:stretch>
                  </pic:blipFill>
                  <pic:spPr>
                    <a:xfrm>
                      <a:off x="0" y="0"/>
                      <a:ext cx="1566545" cy="1591310"/>
                    </a:xfrm>
                    <a:prstGeom prst="rect">
                      <a:avLst/>
                    </a:prstGeom>
                  </pic:spPr>
                </pic:pic>
              </a:graphicData>
            </a:graphic>
          </wp:anchor>
        </w:drawing>
      </w:r>
    </w:p>
    <w:p>
      <w:pPr>
        <w:keepNext w:val="0"/>
        <w:keepLines w:val="0"/>
        <w:pageBreakBefore w:val="0"/>
        <w:widowControl w:val="0"/>
        <w:kinsoku/>
        <w:overflowPunct/>
        <w:topLinePunct w:val="0"/>
        <w:autoSpaceDE/>
        <w:autoSpaceDN/>
        <w:bidi w:val="0"/>
        <w:adjustRightInd/>
        <w:snapToGrid/>
        <w:spacing w:line="360" w:lineRule="auto"/>
        <w:ind w:right="860"/>
        <w:jc w:val="right"/>
        <w:textAlignment w:val="auto"/>
        <w:rPr>
          <w:rFonts w:hint="eastAsia" w:ascii="仿宋_GB2312" w:hAnsi="宋体" w:eastAsia="仿宋_GB2312"/>
          <w:kern w:val="0"/>
          <w:sz w:val="30"/>
        </w:rPr>
      </w:pPr>
    </w:p>
    <w:p>
      <w:pPr>
        <w:keepNext w:val="0"/>
        <w:keepLines w:val="0"/>
        <w:pageBreakBefore w:val="0"/>
        <w:widowControl w:val="0"/>
        <w:kinsoku/>
        <w:overflowPunct/>
        <w:topLinePunct w:val="0"/>
        <w:autoSpaceDE/>
        <w:autoSpaceDN/>
        <w:bidi w:val="0"/>
        <w:adjustRightInd/>
        <w:snapToGrid/>
        <w:spacing w:line="360" w:lineRule="auto"/>
        <w:ind w:right="860"/>
        <w:jc w:val="right"/>
        <w:textAlignment w:val="auto"/>
        <w:rPr>
          <w:rFonts w:ascii="仿宋_GB2312" w:hAnsi="宋体" w:eastAsia="仿宋_GB2312"/>
          <w:kern w:val="0"/>
          <w:sz w:val="30"/>
        </w:rPr>
      </w:pPr>
      <w:r>
        <w:rPr>
          <w:rFonts w:hint="eastAsia" w:ascii="仿宋_GB2312" w:hAnsi="宋体" w:eastAsia="仿宋_GB2312"/>
          <w:kern w:val="0"/>
          <w:sz w:val="30"/>
        </w:rPr>
        <w:t>城轨工程学院</w:t>
      </w:r>
    </w:p>
    <w:p>
      <w:pPr>
        <w:keepNext w:val="0"/>
        <w:keepLines w:val="0"/>
        <w:pageBreakBefore w:val="0"/>
        <w:widowControl w:val="0"/>
        <w:kinsoku/>
        <w:wordWrap w:val="0"/>
        <w:overflowPunct/>
        <w:topLinePunct w:val="0"/>
        <w:autoSpaceDE/>
        <w:autoSpaceDN/>
        <w:bidi w:val="0"/>
        <w:adjustRightInd/>
        <w:snapToGrid/>
        <w:spacing w:line="360" w:lineRule="auto"/>
        <w:ind w:right="60"/>
        <w:jc w:val="right"/>
        <w:textAlignment w:val="auto"/>
        <w:rPr>
          <w:rFonts w:eastAsia="Times New Roman"/>
          <w:kern w:val="0"/>
        </w:rPr>
      </w:pPr>
      <w:r>
        <w:rPr>
          <w:rFonts w:ascii="仿宋_GB2312" w:hAnsi="宋体" w:eastAsia="仿宋_GB2312"/>
          <w:kern w:val="0"/>
          <w:sz w:val="30"/>
        </w:rPr>
        <w:t xml:space="preserve">    </w:t>
      </w:r>
      <w:r>
        <w:rPr>
          <w:rFonts w:hint="eastAsia" w:ascii="仿宋_GB2312" w:hAnsi="宋体" w:eastAsia="仿宋_GB2312"/>
          <w:kern w:val="0"/>
          <w:sz w:val="30"/>
        </w:rPr>
        <w:t>二〇</w:t>
      </w:r>
      <w:r>
        <w:rPr>
          <w:rFonts w:hint="eastAsia" w:ascii="仿宋_GB2312" w:hAnsi="宋体" w:eastAsia="仿宋_GB2312"/>
          <w:kern w:val="0"/>
          <w:sz w:val="30"/>
          <w:lang w:eastAsia="zh-CN"/>
        </w:rPr>
        <w:t>二一</w:t>
      </w:r>
      <w:r>
        <w:rPr>
          <w:rFonts w:hint="eastAsia" w:ascii="仿宋_GB2312" w:hAnsi="宋体" w:eastAsia="仿宋_GB2312"/>
          <w:kern w:val="0"/>
          <w:sz w:val="30"/>
        </w:rPr>
        <w:t>年</w:t>
      </w:r>
      <w:r>
        <w:rPr>
          <w:rFonts w:hint="eastAsia" w:ascii="仿宋_GB2312" w:hAnsi="宋体" w:eastAsia="仿宋_GB2312"/>
          <w:kern w:val="0"/>
          <w:sz w:val="30"/>
          <w:lang w:eastAsia="zh-CN"/>
        </w:rPr>
        <w:t>六</w:t>
      </w:r>
      <w:r>
        <w:rPr>
          <w:rFonts w:hint="eastAsia" w:ascii="仿宋_GB2312" w:hAnsi="宋体" w:eastAsia="仿宋_GB2312"/>
          <w:kern w:val="0"/>
          <w:sz w:val="30"/>
        </w:rPr>
        <w:t>月</w:t>
      </w:r>
      <w:r>
        <w:rPr>
          <w:rFonts w:hint="eastAsia" w:ascii="仿宋_GB2312" w:hAnsi="宋体" w:eastAsia="仿宋_GB2312"/>
          <w:kern w:val="0"/>
          <w:sz w:val="30"/>
          <w:lang w:eastAsia="zh-CN"/>
        </w:rPr>
        <w:t>十六</w:t>
      </w:r>
      <w:r>
        <w:rPr>
          <w:rFonts w:hint="eastAsia" w:ascii="仿宋_GB2312" w:hAnsi="宋体" w:eastAsia="仿宋_GB2312"/>
          <w:kern w:val="0"/>
          <w:sz w:val="30"/>
        </w:rPr>
        <w:t>日</w:t>
      </w: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hAnsi="宋体"/>
          <w:sz w:val="24"/>
        </w:rPr>
      </w:pPr>
      <w:r>
        <mc:AlternateContent>
          <mc:Choice Requires="wps">
            <w:drawing>
              <wp:anchor distT="0" distB="0" distL="114300" distR="114300" simplePos="0" relativeHeight="251660288" behindDoc="0" locked="0" layoutInCell="0" allowOverlap="1">
                <wp:simplePos x="0" y="0"/>
                <wp:positionH relativeFrom="column">
                  <wp:posOffset>9525</wp:posOffset>
                </wp:positionH>
                <wp:positionV relativeFrom="paragraph">
                  <wp:posOffset>348615</wp:posOffset>
                </wp:positionV>
                <wp:extent cx="5800725" cy="1905"/>
                <wp:effectExtent l="9525" t="15240" r="9525" b="11430"/>
                <wp:wrapNone/>
                <wp:docPr id="1" name="Line 4"/>
                <wp:cNvGraphicFramePr/>
                <a:graphic xmlns:a="http://schemas.openxmlformats.org/drawingml/2006/main">
                  <a:graphicData uri="http://schemas.microsoft.com/office/word/2010/wordprocessingShape">
                    <wps:wsp>
                      <wps:cNvCnPr>
                        <a:cxnSpLocks noChangeShapeType="1"/>
                      </wps:cNvCnPr>
                      <wps:spPr bwMode="auto">
                        <a:xfrm flipV="1">
                          <a:off x="0" y="0"/>
                          <a:ext cx="5800725" cy="1905"/>
                        </a:xfrm>
                        <a:prstGeom prst="line">
                          <a:avLst/>
                        </a:prstGeom>
                        <a:noFill/>
                        <a:ln w="19050">
                          <a:solidFill>
                            <a:srgbClr val="000000"/>
                          </a:solidFill>
                          <a:round/>
                        </a:ln>
                      </wps:spPr>
                      <wps:bodyPr/>
                    </wps:wsp>
                  </a:graphicData>
                </a:graphic>
              </wp:anchor>
            </w:drawing>
          </mc:Choice>
          <mc:Fallback>
            <w:pict>
              <v:line id="Line 4" o:spid="_x0000_s1026" o:spt="20" style="position:absolute;left:0pt;flip:y;margin-left:0.75pt;margin-top:27.45pt;height:0.15pt;width:456.75pt;z-index:251660288;mso-width-relative:page;mso-height-relative:page;" filled="f" stroked="t" coordsize="21600,21600" o:allowincell="f" o:gfxdata="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lyYgjVAAAABwEAAA8AAAAAAAAAAQAgAAAAIgAAAGRy&#10;cy9kb3ducmV2LnhtbFBLAQIUABQAAAAIAIdO4kAi051gzwEAAK0DAAAOAAAAAAAAAAEAIAAAACQB&#10;AABkcnMvZTJvRG9jLnhtbFBLBQYAAAAABgAGAFkBAABlBQAAAAA=&#10;">
                <v:fill on="f" focussize="0,0"/>
                <v:stroke weight="1.5pt" color="#000000" joinstyle="round"/>
                <v:imagedata o:title=""/>
                <o:lock v:ext="edit" aspectratio="f"/>
              </v:line>
            </w:pict>
          </mc:Fallback>
        </mc:AlternateContent>
      </w:r>
      <w:r>
        <w:rPr>
          <w:rFonts w:hint="eastAsia" w:ascii="仿宋_GB2312" w:eastAsia="仿宋_GB2312"/>
          <w:sz w:val="28"/>
        </w:rPr>
        <w:t>分送：</w:t>
      </w:r>
      <w:r>
        <w:rPr>
          <w:rFonts w:hint="eastAsia" w:ascii="仿宋_GB2312" w:eastAsia="仿宋_GB2312"/>
          <w:sz w:val="28"/>
          <w:lang w:eastAsia="zh-CN"/>
        </w:rPr>
        <w:t>院</w:t>
      </w:r>
      <w:r>
        <w:rPr>
          <w:rFonts w:hint="eastAsia" w:ascii="仿宋_GB2312" w:eastAsia="仿宋_GB2312"/>
          <w:sz w:val="28"/>
        </w:rPr>
        <w:t>领导（电子文档），教研室主任存档。</w:t>
      </w:r>
    </w:p>
    <w:p>
      <w:pPr>
        <w:spacing w:line="560" w:lineRule="exact"/>
        <w:rPr>
          <w:rFonts w:eastAsia="Times New Roman"/>
          <w:kern w:val="0"/>
        </w:rPr>
      </w:pPr>
    </w:p>
    <w:sectPr>
      <w:headerReference r:id="rId4" w:type="first"/>
      <w:headerReference r:id="rId3" w:type="default"/>
      <w:footerReference r:id="rId5" w:type="default"/>
      <w:footerReference r:id="rId6" w:type="even"/>
      <w:pgSz w:w="11906" w:h="16838"/>
      <w:pgMar w:top="1588" w:right="1361" w:bottom="1134" w:left="136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Arial Unicode MS"/>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18"/>
      </w:rPr>
    </w:pPr>
    <w:r>
      <w:rPr>
        <w:rStyle w:val="8"/>
        <w:sz w:val="18"/>
      </w:rPr>
      <w:fldChar w:fldCharType="begin"/>
    </w:r>
    <w:r>
      <w:rPr>
        <w:rStyle w:val="8"/>
        <w:sz w:val="18"/>
      </w:rPr>
      <w:instrText xml:space="preserve">PAGE  </w:instrText>
    </w:r>
    <w:r>
      <w:rPr>
        <w:rStyle w:val="8"/>
        <w:sz w:val="18"/>
      </w:rPr>
      <w:fldChar w:fldCharType="separate"/>
    </w:r>
    <w:r>
      <w:rPr>
        <w:rStyle w:val="8"/>
        <w:sz w:val="18"/>
      </w:rPr>
      <w:t>4</w:t>
    </w:r>
    <w:r>
      <w:rPr>
        <w:rStyle w:val="8"/>
        <w:sz w:val="18"/>
      </w:rPr>
      <w:fldChar w:fldCharType="end"/>
    </w:r>
  </w:p>
  <w:p>
    <w:pPr>
      <w:pStyle w:val="3"/>
      <w:rPr>
        <w:rFonts w:eastAsia="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18"/>
      </w:rPr>
    </w:pPr>
    <w:r>
      <w:rPr>
        <w:rStyle w:val="8"/>
        <w:sz w:val="18"/>
      </w:rPr>
      <w:fldChar w:fldCharType="begin"/>
    </w:r>
    <w:r>
      <w:rPr>
        <w:rStyle w:val="8"/>
        <w:sz w:val="18"/>
      </w:rPr>
      <w:instrText xml:space="preserve">PAGE  </w:instrText>
    </w:r>
    <w:r>
      <w:rPr>
        <w:rStyle w:val="8"/>
        <w:sz w:val="18"/>
      </w:rPr>
      <w:fldChar w:fldCharType="separate"/>
    </w:r>
    <w:r>
      <w:rPr>
        <w:rStyle w:val="8"/>
        <w:sz w:val="18"/>
      </w:rPr>
      <w:t>1</w:t>
    </w:r>
    <w:r>
      <w:rPr>
        <w:rStyle w:val="8"/>
        <w:sz w:val="18"/>
      </w:rPr>
      <w:fldChar w:fldCharType="end"/>
    </w:r>
  </w:p>
  <w:p>
    <w:pPr>
      <w:pStyle w:val="3"/>
      <w:rPr>
        <w:rFonts w:eastAsia="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formatting="1"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94A"/>
    <w:rsid w:val="000F7C03"/>
    <w:rsid w:val="00157E46"/>
    <w:rsid w:val="00172A27"/>
    <w:rsid w:val="00182DF0"/>
    <w:rsid w:val="00291A4E"/>
    <w:rsid w:val="003368F8"/>
    <w:rsid w:val="003D1F6E"/>
    <w:rsid w:val="00511072"/>
    <w:rsid w:val="005E01CE"/>
    <w:rsid w:val="006105D8"/>
    <w:rsid w:val="00657E6B"/>
    <w:rsid w:val="007C205F"/>
    <w:rsid w:val="009B54F4"/>
    <w:rsid w:val="009D76F2"/>
    <w:rsid w:val="00A004D5"/>
    <w:rsid w:val="00A316F9"/>
    <w:rsid w:val="00A3764D"/>
    <w:rsid w:val="00AE6210"/>
    <w:rsid w:val="00AF6035"/>
    <w:rsid w:val="00C35744"/>
    <w:rsid w:val="00FF181A"/>
    <w:rsid w:val="0118330D"/>
    <w:rsid w:val="03255AEC"/>
    <w:rsid w:val="04971FEC"/>
    <w:rsid w:val="04EF1DF2"/>
    <w:rsid w:val="05316EDF"/>
    <w:rsid w:val="07272E02"/>
    <w:rsid w:val="07FA043D"/>
    <w:rsid w:val="090A31D7"/>
    <w:rsid w:val="0ADB5949"/>
    <w:rsid w:val="0BF15287"/>
    <w:rsid w:val="0BF928D4"/>
    <w:rsid w:val="11B846F6"/>
    <w:rsid w:val="14FB57F7"/>
    <w:rsid w:val="17BB3CCD"/>
    <w:rsid w:val="17D8280A"/>
    <w:rsid w:val="18295A31"/>
    <w:rsid w:val="19E16A1A"/>
    <w:rsid w:val="1A8A2ABE"/>
    <w:rsid w:val="1CBC374C"/>
    <w:rsid w:val="1DD22E9C"/>
    <w:rsid w:val="1F031711"/>
    <w:rsid w:val="1F7D77B0"/>
    <w:rsid w:val="1FD86ABB"/>
    <w:rsid w:val="20D24E64"/>
    <w:rsid w:val="23BB2B00"/>
    <w:rsid w:val="247E562A"/>
    <w:rsid w:val="26336079"/>
    <w:rsid w:val="289B7DFC"/>
    <w:rsid w:val="2A601A75"/>
    <w:rsid w:val="2D2D4EFF"/>
    <w:rsid w:val="2DDA0BD5"/>
    <w:rsid w:val="30DC7F52"/>
    <w:rsid w:val="30E62C6A"/>
    <w:rsid w:val="30E92752"/>
    <w:rsid w:val="314C7590"/>
    <w:rsid w:val="318D782E"/>
    <w:rsid w:val="32392E76"/>
    <w:rsid w:val="32A91130"/>
    <w:rsid w:val="39D34BCC"/>
    <w:rsid w:val="3D7062B2"/>
    <w:rsid w:val="3ED622A2"/>
    <w:rsid w:val="433E4E0D"/>
    <w:rsid w:val="44210EE3"/>
    <w:rsid w:val="44B92CCF"/>
    <w:rsid w:val="48360175"/>
    <w:rsid w:val="492C3205"/>
    <w:rsid w:val="4AD57022"/>
    <w:rsid w:val="4CD144FE"/>
    <w:rsid w:val="52236FD4"/>
    <w:rsid w:val="55B318D4"/>
    <w:rsid w:val="55FF5CFD"/>
    <w:rsid w:val="57893EEB"/>
    <w:rsid w:val="57A640FC"/>
    <w:rsid w:val="5A9D6634"/>
    <w:rsid w:val="5AA5652D"/>
    <w:rsid w:val="5C002D0D"/>
    <w:rsid w:val="5C204056"/>
    <w:rsid w:val="5E63190D"/>
    <w:rsid w:val="5F7A5037"/>
    <w:rsid w:val="60653B43"/>
    <w:rsid w:val="622B2119"/>
    <w:rsid w:val="66897C52"/>
    <w:rsid w:val="66F50721"/>
    <w:rsid w:val="6B601F89"/>
    <w:rsid w:val="6BD03960"/>
    <w:rsid w:val="6C5F49A6"/>
    <w:rsid w:val="6D3A0B6B"/>
    <w:rsid w:val="6D7C526D"/>
    <w:rsid w:val="6E9117DF"/>
    <w:rsid w:val="6E9542A2"/>
    <w:rsid w:val="6F713E1D"/>
    <w:rsid w:val="6FF721C9"/>
    <w:rsid w:val="70B450A1"/>
    <w:rsid w:val="7149207A"/>
    <w:rsid w:val="723D444D"/>
    <w:rsid w:val="75B771B0"/>
    <w:rsid w:val="791840C8"/>
    <w:rsid w:val="7D817F2E"/>
    <w:rsid w:val="7E4365CB"/>
    <w:rsid w:val="7EFE0F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qFormat/>
    <w:uiPriority w:val="99"/>
    <w:pPr>
      <w:ind w:left="100" w:leftChars="2500"/>
    </w:pPr>
  </w:style>
  <w:style w:type="paragraph" w:styleId="3">
    <w:name w:val="footer"/>
    <w:basedOn w:val="1"/>
    <w:link w:val="10"/>
    <w:qFormat/>
    <w:uiPriority w:val="99"/>
    <w:pPr>
      <w:tabs>
        <w:tab w:val="center" w:pos="4153"/>
        <w:tab w:val="right" w:pos="8306"/>
      </w:tabs>
      <w:snapToGrid w:val="0"/>
      <w:jc w:val="left"/>
    </w:pPr>
    <w:rPr>
      <w:sz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rPr>
  </w:style>
  <w:style w:type="paragraph" w:styleId="5">
    <w:name w:val="Normal (Web)"/>
    <w:basedOn w:val="1"/>
    <w:qFormat/>
    <w:uiPriority w:val="99"/>
    <w:pPr>
      <w:widowControl/>
      <w:spacing w:before="100" w:beforeAutospacing="1" w:after="100" w:afterAutospacing="1"/>
      <w:jc w:val="left"/>
    </w:pPr>
    <w:rPr>
      <w:rFonts w:ascii="宋体" w:hAnsi="宋体"/>
      <w:sz w:val="24"/>
    </w:rPr>
  </w:style>
  <w:style w:type="character" w:styleId="8">
    <w:name w:val="page number"/>
    <w:basedOn w:val="7"/>
    <w:qFormat/>
    <w:uiPriority w:val="99"/>
    <w:rPr>
      <w:rFonts w:ascii="Times New Roman" w:cs="Times New Roman"/>
      <w:sz w:val="24"/>
    </w:rPr>
  </w:style>
  <w:style w:type="character" w:customStyle="1" w:styleId="9">
    <w:name w:val="日期 Char"/>
    <w:basedOn w:val="7"/>
    <w:link w:val="2"/>
    <w:qFormat/>
    <w:locked/>
    <w:uiPriority w:val="99"/>
    <w:rPr>
      <w:rFonts w:ascii="Times New Roman" w:cs="Times New Roman"/>
      <w:sz w:val="24"/>
    </w:rPr>
  </w:style>
  <w:style w:type="character" w:customStyle="1" w:styleId="10">
    <w:name w:val="页脚 Char"/>
    <w:basedOn w:val="7"/>
    <w:link w:val="3"/>
    <w:qFormat/>
    <w:locked/>
    <w:uiPriority w:val="99"/>
    <w:rPr>
      <w:rFonts w:ascii="Times New Roman" w:cs="Times New Roman"/>
      <w:sz w:val="18"/>
    </w:rPr>
  </w:style>
  <w:style w:type="character" w:customStyle="1" w:styleId="11">
    <w:name w:val="页眉 Char"/>
    <w:basedOn w:val="7"/>
    <w:link w:val="4"/>
    <w:qFormat/>
    <w:locked/>
    <w:uiPriority w:val="99"/>
    <w:rPr>
      <w:rFonts w:ascii="Times New Roman" w:cs="Times New Roman"/>
      <w:sz w:val="18"/>
    </w:rPr>
  </w:style>
  <w:style w:type="paragraph" w:customStyle="1" w:styleId="12">
    <w:name w:val="二级标题"/>
    <w:basedOn w:val="1"/>
    <w:link w:val="13"/>
    <w:qFormat/>
    <w:uiPriority w:val="99"/>
    <w:pPr>
      <w:spacing w:beforeLines="30" w:afterLines="30" w:line="520" w:lineRule="exact"/>
      <w:outlineLvl w:val="1"/>
    </w:pPr>
    <w:rPr>
      <w:rFonts w:ascii="仿宋_GB2312" w:hAnsi="宋体" w:eastAsia="仿宋_GB2312"/>
      <w:b/>
      <w:color w:val="000000"/>
      <w:sz w:val="28"/>
    </w:rPr>
  </w:style>
  <w:style w:type="character" w:customStyle="1" w:styleId="13">
    <w:name w:val="二级标题 Char"/>
    <w:basedOn w:val="7"/>
    <w:link w:val="12"/>
    <w:qFormat/>
    <w:locked/>
    <w:uiPriority w:val="99"/>
    <w:rPr>
      <w:rFonts w:ascii="仿宋_GB2312" w:hAnsi="宋体" w:eastAsia="仿宋_GB2312" w:cs="Times New Roman"/>
      <w:b/>
      <w:color w:val="000000"/>
      <w:kern w:val="2"/>
      <w:sz w:val="30"/>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mycomputer</Company>
  <Pages>5</Pages>
  <Words>227</Words>
  <Characters>1296</Characters>
  <Lines>10</Lines>
  <Paragraphs>3</Paragraphs>
  <TotalTime>0</TotalTime>
  <ScaleCrop>false</ScaleCrop>
  <LinksUpToDate>false</LinksUpToDate>
  <CharactersWithSpaces>1520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2016-08-26T09:52:00Z</dcterms:created>
  <dc:creator>Administrator</dc:creator>
  <cp:lastModifiedBy>Administrator</cp:lastModifiedBy>
  <cp:lastPrinted>2018-04-18T09:23:00Z</cp:lastPrinted>
  <dcterms:modified xsi:type="dcterms:W3CDTF">2021-09-13T03:18:32Z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2A022BCE081147709D5034641F095678</vt:lpwstr>
  </property>
</Properties>
</file>